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5534" w14:textId="77777777" w:rsidR="00236617" w:rsidRPr="00C3489A" w:rsidRDefault="00236617" w:rsidP="00236617">
      <w:pPr>
        <w:jc w:val="center"/>
        <w:rPr>
          <w:rStyle w:val="fontstyle01"/>
          <w:rFonts w:ascii="Times New Roman" w:eastAsia="黑体" w:hAnsi="Times New Roman" w:cs="Times New Roman"/>
          <w:b/>
          <w:bCs/>
          <w:sz w:val="32"/>
          <w:szCs w:val="32"/>
        </w:rPr>
      </w:pPr>
      <w:r w:rsidRPr="00C3489A">
        <w:rPr>
          <w:rStyle w:val="fontstyle01"/>
          <w:rFonts w:ascii="Times New Roman" w:eastAsia="黑体" w:hAnsi="Times New Roman" w:cs="Times New Roman"/>
          <w:b/>
          <w:bCs/>
          <w:sz w:val="32"/>
          <w:szCs w:val="32"/>
        </w:rPr>
        <w:t>光照培养箱</w:t>
      </w:r>
    </w:p>
    <w:p w14:paraId="5AF17CB7" w14:textId="323AA57C" w:rsidR="00C3489A" w:rsidRDefault="00236617" w:rsidP="00236617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1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．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内部容积：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≥840L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*2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标配四层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隔板，总搁板面积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≥2m</w:t>
      </w:r>
      <w:r w:rsidRPr="00236617">
        <w:rPr>
          <w:rStyle w:val="fontstyle11"/>
          <w:rFonts w:ascii="Times New Roman" w:eastAsia="黑体" w:hAnsi="Times New Roman" w:cs="Times New Roman" w:hint="default"/>
          <w:sz w:val="15"/>
          <w:szCs w:val="15"/>
          <w:vertAlign w:val="superscript"/>
        </w:rPr>
        <w:t>2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，植物生长高度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≥219</w:t>
      </w:r>
      <w:bookmarkStart w:id="0" w:name="_GoBack"/>
      <w:bookmarkEnd w:id="0"/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mm/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层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*3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工作时温度范围：开灯时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10ºC ~ 60ºC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，关灯时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2ºC ~ 64ºC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,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控温精度为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0.1 ºC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，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温度水平均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一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性为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±0.5ºC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*4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光源系统：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光照强度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≥350 micromoles/m2/s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*5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光源为水平顶部光源。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光源和层架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高度可以根据应用调节，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光源为分层照射、确保光照的均匀性。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*6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光源分为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 xml:space="preserve">2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种，一种为冷光源，另一种为灯泡，利用灯泡来补偿灯管缺失的紫外波段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*7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气流方式：通过箱体后壁的压力空气扩散器经由每层隔板实现气流循环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8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培养箱具备除霜循环功能，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能够在低温高湿的环境中正常使用。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*9</w:t>
      </w:r>
      <w:r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使用标准智能型单片机固化程序控制系统，能准确控制温度、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湿度、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光照和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 xml:space="preserve">CO2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等关联参数；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至少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可以存储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 xml:space="preserve">50 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个程序程序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可设定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阶跃和飞非阶跃两种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程序模式；依照设定程序经年累月执行操作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*11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安全系统</w:t>
      </w:r>
      <w:r w:rsidR="00C3489A">
        <w:rPr>
          <w:rFonts w:ascii="Times New Roman" w:eastAsia="黑体" w:hAnsi="Times New Roman" w:cs="Times New Roman"/>
          <w:color w:val="000000"/>
          <w:sz w:val="28"/>
          <w:szCs w:val="28"/>
        </w:rPr>
        <w:tab/>
      </w:r>
      <w:r w:rsidR="00C3489A">
        <w:rPr>
          <w:rFonts w:ascii="Times New Roman" w:eastAsia="黑体" w:hAnsi="Times New Roman" w:cs="Times New Roman" w:hint="eastAsia"/>
          <w:color w:val="000000"/>
          <w:sz w:val="28"/>
          <w:szCs w:val="28"/>
        </w:rPr>
        <w:t>：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温度保护控制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光源寿命报警功能</w:t>
      </w:r>
      <w:r w:rsidR="00C3489A">
        <w:rPr>
          <w:rFonts w:ascii="Times New Roman" w:eastAsia="黑体" w:hAnsi="Times New Roman" w:cs="Times New Roman" w:hint="eastAsia"/>
          <w:color w:val="000000"/>
          <w:sz w:val="28"/>
          <w:szCs w:val="28"/>
        </w:rPr>
        <w:t>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控制面板上具有故障诊断功能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具有自动永久性储存程序和参数的功能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、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后备电池用于应急存储数据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12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温控系统：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带热气旁路系统的空气冷却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/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加热装置</w:t>
      </w:r>
    </w:p>
    <w:p w14:paraId="5D277E34" w14:textId="6DE60BEE" w:rsidR="00361A0C" w:rsidRDefault="00236617" w:rsidP="00236617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13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使用不含氟氯化碳（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CFC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）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 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的环保制冷剂；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t>14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proofErr w:type="gramStart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箱轮脚</w:t>
      </w:r>
      <w:proofErr w:type="gramEnd"/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为耐受力超强的旋转轮脚，可以随时锁定，可调平衡</w:t>
      </w:r>
      <w:r w:rsidRPr="00236617">
        <w:rPr>
          <w:rFonts w:ascii="Times New Roman" w:eastAsia="黑体" w:hAnsi="Times New Roman" w:cs="Times New Roman"/>
          <w:color w:val="000000"/>
          <w:sz w:val="28"/>
          <w:szCs w:val="28"/>
        </w:rPr>
        <w:br/>
      </w:r>
      <w:r w:rsidRPr="00236617">
        <w:rPr>
          <w:rStyle w:val="fontstyle01"/>
          <w:rFonts w:ascii="Times New Roman" w:eastAsia="黑体" w:hAnsi="Times New Roman" w:cs="Times New Roman"/>
          <w:sz w:val="28"/>
          <w:szCs w:val="28"/>
        </w:rPr>
        <w:lastRenderedPageBreak/>
        <w:t>15</w:t>
      </w:r>
      <w:r w:rsid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236617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门带有磁性密封垫，门关闭更紧密</w:t>
      </w:r>
    </w:p>
    <w:p w14:paraId="0888DF32" w14:textId="77777777" w:rsidR="00C3489A" w:rsidRPr="00840306" w:rsidRDefault="00C3489A" w:rsidP="00C3489A">
      <w:pPr>
        <w:spacing w:line="360" w:lineRule="auto"/>
        <w:rPr>
          <w:rFonts w:eastAsia="黑体"/>
          <w:b/>
          <w:bCs/>
          <w:sz w:val="30"/>
          <w:szCs w:val="30"/>
        </w:rPr>
      </w:pPr>
      <w:r w:rsidRPr="00840306">
        <w:rPr>
          <w:rFonts w:eastAsia="黑体"/>
          <w:b/>
          <w:bCs/>
          <w:sz w:val="30"/>
          <w:szCs w:val="30"/>
        </w:rPr>
        <w:t>技术服务要求：</w:t>
      </w:r>
    </w:p>
    <w:p w14:paraId="05E74773" w14:textId="41D1E415" w:rsidR="00C3489A" w:rsidRPr="00C3489A" w:rsidRDefault="00C3489A" w:rsidP="00C3489A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1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设备安装调试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: 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在买方指定的地点完成安装调试，并配合买方进行测试验收</w:t>
      </w:r>
    </w:p>
    <w:p w14:paraId="14ACC8CB" w14:textId="49BAA14C" w:rsidR="00C3489A" w:rsidRPr="00C3489A" w:rsidRDefault="00C3489A" w:rsidP="00C3489A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2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质保期验收合格日起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12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个月</w:t>
      </w:r>
    </w:p>
    <w:p w14:paraId="439FC832" w14:textId="5503FA9B" w:rsidR="00C3489A" w:rsidRPr="00C3489A" w:rsidRDefault="00C3489A" w:rsidP="00C3489A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3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维修响应时间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 xml:space="preserve">: 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接到维修通知后，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12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小时内做出响应，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24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小时内到达现场排除故障</w:t>
      </w:r>
    </w:p>
    <w:p w14:paraId="63D005B2" w14:textId="7DCA2018" w:rsidR="00C3489A" w:rsidRPr="00C3489A" w:rsidRDefault="00C3489A" w:rsidP="00C3489A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4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.</w:t>
      </w:r>
      <w:r w:rsidRPr="00C3489A">
        <w:rPr>
          <w:rStyle w:val="fontstyle11"/>
          <w:rFonts w:ascii="Times New Roman" w:eastAsia="黑体" w:hAnsi="Times New Roman" w:cs="Times New Roman" w:hint="default"/>
          <w:sz w:val="28"/>
          <w:szCs w:val="28"/>
        </w:rPr>
        <w:t>交货地点：用户指定地点</w:t>
      </w:r>
    </w:p>
    <w:p w14:paraId="3E776E35" w14:textId="77777777" w:rsidR="00C3489A" w:rsidRPr="00C3489A" w:rsidRDefault="00C3489A" w:rsidP="00C3489A">
      <w:pPr>
        <w:spacing w:line="360" w:lineRule="auto"/>
        <w:rPr>
          <w:rStyle w:val="fontstyle11"/>
          <w:rFonts w:ascii="Times New Roman" w:eastAsia="黑体" w:hAnsi="Times New Roman" w:cs="Times New Roman" w:hint="default"/>
          <w:sz w:val="28"/>
          <w:szCs w:val="28"/>
        </w:rPr>
      </w:pPr>
    </w:p>
    <w:p w14:paraId="2D64A133" w14:textId="77777777" w:rsidR="00C3489A" w:rsidRPr="00C3489A" w:rsidRDefault="00C3489A" w:rsidP="00236617">
      <w:pPr>
        <w:spacing w:line="360" w:lineRule="auto"/>
        <w:rPr>
          <w:rStyle w:val="fontstyle11"/>
          <w:rFonts w:ascii="Times New Roman" w:eastAsia="黑体" w:hAnsi="Times New Roman" w:hint="default"/>
          <w:sz w:val="28"/>
          <w:szCs w:val="28"/>
        </w:rPr>
      </w:pPr>
    </w:p>
    <w:sectPr w:rsidR="00C3489A" w:rsidRPr="00C3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1753" w14:textId="77777777" w:rsidR="00726B15" w:rsidRDefault="00726B15" w:rsidP="00236617">
      <w:r>
        <w:separator/>
      </w:r>
    </w:p>
  </w:endnote>
  <w:endnote w:type="continuationSeparator" w:id="0">
    <w:p w14:paraId="0EE14D6E" w14:textId="77777777" w:rsidR="00726B15" w:rsidRDefault="00726B15" w:rsidP="0023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7510C" w14:textId="77777777" w:rsidR="00726B15" w:rsidRDefault="00726B15" w:rsidP="00236617">
      <w:r>
        <w:separator/>
      </w:r>
    </w:p>
  </w:footnote>
  <w:footnote w:type="continuationSeparator" w:id="0">
    <w:p w14:paraId="700A1ADE" w14:textId="77777777" w:rsidR="00726B15" w:rsidRDefault="00726B15" w:rsidP="0023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0517D"/>
    <w:rsid w:val="0020517D"/>
    <w:rsid w:val="00236617"/>
    <w:rsid w:val="00361A0C"/>
    <w:rsid w:val="00726B15"/>
    <w:rsid w:val="00977B39"/>
    <w:rsid w:val="00C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19DA3"/>
  <w15:chartTrackingRefBased/>
  <w15:docId w15:val="{98DB68D0-40F0-4C2B-B974-E6C35F2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6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617"/>
    <w:rPr>
      <w:sz w:val="18"/>
      <w:szCs w:val="18"/>
    </w:rPr>
  </w:style>
  <w:style w:type="character" w:customStyle="1" w:styleId="fontstyle01">
    <w:name w:val="fontstyle01"/>
    <w:basedOn w:val="a0"/>
    <w:rsid w:val="0023661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3661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2019-10-22T07:02:00Z</dcterms:created>
  <dcterms:modified xsi:type="dcterms:W3CDTF">2019-10-22T07:28:00Z</dcterms:modified>
</cp:coreProperties>
</file>