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1.</w:t>
      </w:r>
      <w:r w:rsidRPr="00DE250C">
        <w:rPr>
          <w:rFonts w:ascii="微软雅黑" w:eastAsia="微软雅黑" w:hAnsi="微软雅黑" w:cs="Arial" w:hint="eastAsia"/>
          <w:sz w:val="22"/>
        </w:rPr>
        <w:t>带宽：</w:t>
      </w:r>
      <w:r w:rsidRPr="00DE250C">
        <w:rPr>
          <w:rFonts w:ascii="微软雅黑" w:eastAsia="微软雅黑" w:hAnsi="微软雅黑" w:cs="Arial"/>
          <w:sz w:val="22"/>
        </w:rPr>
        <w:t>1GHz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2.</w:t>
      </w:r>
      <w:r w:rsidRPr="00DE250C">
        <w:rPr>
          <w:rFonts w:ascii="微软雅黑" w:eastAsia="微软雅黑" w:hAnsi="微软雅黑" w:cs="Arial" w:hint="eastAsia"/>
          <w:sz w:val="22"/>
        </w:rPr>
        <w:t>最大采样率：</w:t>
      </w:r>
      <w:r w:rsidRPr="00DE250C">
        <w:rPr>
          <w:rFonts w:ascii="微软雅黑" w:eastAsia="微软雅黑" w:hAnsi="微软雅黑" w:cs="Arial"/>
          <w:sz w:val="22"/>
        </w:rPr>
        <w:t xml:space="preserve">20GSa/s, </w:t>
      </w:r>
      <w:r w:rsidRPr="00DE250C">
        <w:rPr>
          <w:rFonts w:ascii="微软雅黑" w:eastAsia="微软雅黑" w:hAnsi="微软雅黑" w:cs="Arial" w:hint="eastAsia"/>
          <w:sz w:val="22"/>
        </w:rPr>
        <w:t>半通道</w:t>
      </w:r>
      <w:r w:rsidRPr="00DE250C">
        <w:rPr>
          <w:rFonts w:ascii="微软雅黑" w:eastAsia="微软雅黑" w:hAnsi="微软雅黑" w:cs="Arial"/>
          <w:sz w:val="22"/>
        </w:rPr>
        <w:t xml:space="preserve">; 10GSa/s, </w:t>
      </w:r>
      <w:r w:rsidRPr="00DE250C">
        <w:rPr>
          <w:rFonts w:ascii="微软雅黑" w:eastAsia="微软雅黑" w:hAnsi="微软雅黑" w:cs="Arial" w:hint="eastAsia"/>
          <w:sz w:val="22"/>
        </w:rPr>
        <w:t>全通道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3.</w:t>
      </w:r>
      <w:r w:rsidRPr="00DE250C">
        <w:rPr>
          <w:rFonts w:ascii="微软雅黑" w:eastAsia="微软雅黑" w:hAnsi="微软雅黑" w:cs="Arial" w:hint="eastAsia"/>
          <w:sz w:val="22"/>
        </w:rPr>
        <w:t>最大存储深度</w:t>
      </w:r>
      <w:r w:rsidRPr="00DE250C">
        <w:rPr>
          <w:rFonts w:ascii="微软雅黑" w:eastAsia="微软雅黑" w:hAnsi="微软雅黑" w:cs="Arial"/>
          <w:sz w:val="22"/>
        </w:rPr>
        <w:t xml:space="preserve"> </w:t>
      </w:r>
      <w:r w:rsidRPr="00DE250C">
        <w:rPr>
          <w:rFonts w:ascii="微软雅黑" w:eastAsia="微软雅黑" w:hAnsi="微软雅黑" w:cs="Arial" w:hint="eastAsia"/>
          <w:sz w:val="22"/>
        </w:rPr>
        <w:t>：标配</w:t>
      </w:r>
      <w:r w:rsidRPr="00DE250C">
        <w:rPr>
          <w:rFonts w:ascii="微软雅黑" w:eastAsia="微软雅黑" w:hAnsi="微软雅黑" w:cs="Arial"/>
          <w:sz w:val="22"/>
        </w:rPr>
        <w:t xml:space="preserve">4Mpts, </w:t>
      </w:r>
      <w:r w:rsidRPr="00DE250C">
        <w:rPr>
          <w:rFonts w:ascii="微软雅黑" w:eastAsia="微软雅黑" w:hAnsi="微软雅黑" w:cs="Arial" w:hint="eastAsia"/>
          <w:sz w:val="22"/>
        </w:rPr>
        <w:t>标配分段存储器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4.</w:t>
      </w:r>
      <w:r w:rsidRPr="00DE250C">
        <w:rPr>
          <w:rFonts w:ascii="微软雅黑" w:eastAsia="微软雅黑" w:hAnsi="微软雅黑" w:cs="Arial" w:hint="eastAsia"/>
          <w:sz w:val="22"/>
        </w:rPr>
        <w:t>显示屏尺寸和类型：</w:t>
      </w:r>
      <w:r w:rsidRPr="00DE250C">
        <w:rPr>
          <w:rFonts w:ascii="微软雅黑" w:eastAsia="微软雅黑" w:hAnsi="微软雅黑" w:cs="Arial"/>
          <w:sz w:val="22"/>
        </w:rPr>
        <w:t xml:space="preserve"> 12.1</w:t>
      </w:r>
      <w:r w:rsidRPr="00DE250C">
        <w:rPr>
          <w:rFonts w:ascii="微软雅黑" w:eastAsia="微软雅黑" w:hAnsi="微软雅黑" w:cs="Arial" w:hint="eastAsia"/>
          <w:sz w:val="22"/>
        </w:rPr>
        <w:t>英寸多点触控电容屏</w:t>
      </w:r>
      <w:r w:rsidRPr="00DE250C">
        <w:rPr>
          <w:rFonts w:ascii="微软雅黑" w:eastAsia="微软雅黑" w:hAnsi="微软雅黑" w:cs="Arial"/>
          <w:sz w:val="22"/>
        </w:rPr>
        <w:t>/</w:t>
      </w:r>
      <w:r w:rsidRPr="00DE250C">
        <w:rPr>
          <w:rFonts w:ascii="微软雅黑" w:eastAsia="微软雅黑" w:hAnsi="微软雅黑" w:cs="Arial" w:hint="eastAsia"/>
          <w:sz w:val="22"/>
        </w:rPr>
        <w:t>支持手势操作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5.</w:t>
      </w:r>
      <w:r w:rsidRPr="00DE250C">
        <w:rPr>
          <w:rFonts w:ascii="微软雅黑" w:eastAsia="微软雅黑" w:hAnsi="微软雅黑" w:cs="Arial" w:hint="eastAsia"/>
          <w:sz w:val="22"/>
        </w:rPr>
        <w:t>波形捕获率</w:t>
      </w:r>
      <w:r w:rsidRPr="00DE250C">
        <w:rPr>
          <w:rFonts w:ascii="微软雅黑" w:eastAsia="微软雅黑" w:hAnsi="微软雅黑" w:cs="Arial"/>
          <w:sz w:val="22"/>
        </w:rPr>
        <w:t xml:space="preserve"> </w:t>
      </w:r>
      <w:r w:rsidRPr="00DE250C">
        <w:rPr>
          <w:rFonts w:ascii="微软雅黑" w:eastAsia="微软雅黑" w:hAnsi="微软雅黑" w:cs="Arial" w:hint="eastAsia"/>
          <w:sz w:val="22"/>
        </w:rPr>
        <w:t>：</w:t>
      </w:r>
      <w:r w:rsidRPr="00DE250C">
        <w:rPr>
          <w:rFonts w:ascii="微软雅黑" w:eastAsia="微软雅黑" w:hAnsi="微软雅黑" w:cs="Arial"/>
          <w:sz w:val="22"/>
        </w:rPr>
        <w:t>&gt;45</w:t>
      </w:r>
      <w:r w:rsidRPr="00DE250C">
        <w:rPr>
          <w:rFonts w:ascii="微软雅黑" w:eastAsia="微软雅黑" w:hAnsi="微软雅黑" w:cs="Arial" w:hint="eastAsia"/>
          <w:sz w:val="22"/>
        </w:rPr>
        <w:t>万个波形</w:t>
      </w:r>
      <w:r w:rsidRPr="00DE250C">
        <w:rPr>
          <w:rFonts w:ascii="微软雅黑" w:eastAsia="微软雅黑" w:hAnsi="微软雅黑" w:cs="Arial"/>
          <w:sz w:val="22"/>
        </w:rPr>
        <w:t>/</w:t>
      </w:r>
      <w:r w:rsidRPr="00DE250C">
        <w:rPr>
          <w:rFonts w:ascii="微软雅黑" w:eastAsia="微软雅黑" w:hAnsi="微软雅黑" w:cs="Arial" w:hint="eastAsia"/>
          <w:sz w:val="22"/>
        </w:rPr>
        <w:t>秒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6.1mV/</w:t>
      </w:r>
      <w:r w:rsidRPr="00DE250C">
        <w:rPr>
          <w:rFonts w:ascii="微软雅黑" w:eastAsia="微软雅黑" w:hAnsi="微软雅黑" w:cs="Arial" w:hint="eastAsia"/>
          <w:sz w:val="22"/>
        </w:rPr>
        <w:t>格时的本底噪声</w:t>
      </w:r>
      <w:r w:rsidRPr="00DE250C">
        <w:rPr>
          <w:rFonts w:ascii="微软雅黑" w:eastAsia="微软雅黑" w:hAnsi="微软雅黑" w:cs="Arial"/>
          <w:sz w:val="22"/>
        </w:rPr>
        <w:t>, 50</w:t>
      </w:r>
      <w:r w:rsidRPr="00DE250C">
        <w:rPr>
          <w:rFonts w:ascii="微软雅黑" w:eastAsia="微软雅黑" w:hAnsi="微软雅黑" w:cs="Arial" w:hint="eastAsia"/>
          <w:sz w:val="22"/>
        </w:rPr>
        <w:t> Ω</w:t>
      </w:r>
      <w:r w:rsidRPr="00DE250C">
        <w:rPr>
          <w:rFonts w:ascii="微软雅黑" w:eastAsia="微软雅黑" w:hAnsi="微软雅黑" w:cs="Arial"/>
          <w:sz w:val="22"/>
        </w:rPr>
        <w:t xml:space="preserve"> </w:t>
      </w:r>
      <w:r w:rsidRPr="00DE250C">
        <w:rPr>
          <w:rFonts w:ascii="微软雅黑" w:eastAsia="微软雅黑" w:hAnsi="微软雅黑" w:cs="Arial" w:hint="eastAsia"/>
          <w:sz w:val="22"/>
        </w:rPr>
        <w:t>：</w:t>
      </w:r>
      <w:r w:rsidRPr="00DE250C">
        <w:rPr>
          <w:rFonts w:ascii="微软雅黑" w:eastAsia="微软雅黑" w:hAnsi="微软雅黑" w:cs="Arial"/>
          <w:sz w:val="22"/>
        </w:rPr>
        <w:t>115</w:t>
      </w:r>
      <w:r w:rsidRPr="00DE250C">
        <w:rPr>
          <w:rFonts w:ascii="微软雅黑" w:eastAsia="微软雅黑" w:hAnsi="微软雅黑" w:cs="Arial" w:hint="eastAsia"/>
          <w:sz w:val="22"/>
        </w:rPr>
        <w:t> μ</w:t>
      </w:r>
      <w:r w:rsidRPr="00DE250C">
        <w:rPr>
          <w:rFonts w:ascii="微软雅黑" w:eastAsia="微软雅黑" w:hAnsi="微软雅黑" w:cs="Arial"/>
          <w:sz w:val="22"/>
        </w:rPr>
        <w:t xml:space="preserve">Vrms 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 xml:space="preserve">7.6 </w:t>
      </w:r>
      <w:r w:rsidRPr="00DE250C">
        <w:rPr>
          <w:rFonts w:ascii="微软雅黑" w:eastAsia="微软雅黑" w:hAnsi="微软雅黑" w:cs="Arial" w:hint="eastAsia"/>
          <w:sz w:val="22"/>
        </w:rPr>
        <w:t>英寸厚的便携式封装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8.</w:t>
      </w:r>
      <w:r w:rsidRPr="00DE250C">
        <w:rPr>
          <w:rFonts w:ascii="微软雅黑" w:eastAsia="微软雅黑" w:hAnsi="微软雅黑" w:cs="Arial" w:hint="eastAsia"/>
          <w:sz w:val="22"/>
        </w:rPr>
        <w:t>标配直方图与彩色余辉频谱显示</w:t>
      </w:r>
    </w:p>
    <w:p w:rsidR="004F5C56" w:rsidRPr="00DE250C" w:rsidRDefault="004F5C56" w:rsidP="004F5C56">
      <w:pPr>
        <w:rPr>
          <w:rFonts w:ascii="微软雅黑" w:eastAsia="微软雅黑" w:hAnsi="微软雅黑" w:cs="Arial"/>
          <w:sz w:val="22"/>
        </w:rPr>
      </w:pPr>
      <w:r w:rsidRPr="00DE250C">
        <w:rPr>
          <w:rFonts w:ascii="微软雅黑" w:eastAsia="微软雅黑" w:hAnsi="微软雅黑" w:cs="Arial"/>
          <w:sz w:val="22"/>
        </w:rPr>
        <w:t>9.</w:t>
      </w:r>
      <w:r w:rsidRPr="00DE250C">
        <w:rPr>
          <w:rFonts w:ascii="微软雅黑" w:eastAsia="微软雅黑" w:hAnsi="微软雅黑" w:cs="Arial" w:hint="eastAsia"/>
          <w:sz w:val="22"/>
        </w:rPr>
        <w:t>连通性：标配</w:t>
      </w:r>
      <w:r w:rsidRPr="00DE250C">
        <w:rPr>
          <w:rFonts w:ascii="微软雅黑" w:eastAsia="微软雅黑" w:hAnsi="微软雅黑" w:cs="Arial"/>
          <w:sz w:val="22"/>
        </w:rPr>
        <w:t>: USB 2.0</w:t>
      </w:r>
      <w:r w:rsidRPr="00DE250C">
        <w:rPr>
          <w:rFonts w:ascii="微软雅黑" w:eastAsia="微软雅黑" w:hAnsi="微软雅黑" w:cs="Arial" w:hint="eastAsia"/>
          <w:sz w:val="22"/>
        </w:rPr>
        <w:t>、</w:t>
      </w:r>
      <w:r w:rsidRPr="00DE250C">
        <w:rPr>
          <w:rFonts w:ascii="微软雅黑" w:eastAsia="微软雅黑" w:hAnsi="微软雅黑" w:cs="Arial"/>
          <w:sz w:val="22"/>
        </w:rPr>
        <w:t>LAN</w:t>
      </w:r>
      <w:r w:rsidRPr="00DE250C">
        <w:rPr>
          <w:rFonts w:ascii="微软雅黑" w:eastAsia="微软雅黑" w:hAnsi="微软雅黑" w:cs="Arial" w:hint="eastAsia"/>
          <w:sz w:val="22"/>
        </w:rPr>
        <w:t>、视频</w:t>
      </w:r>
    </w:p>
    <w:p w:rsidR="00DE250C" w:rsidRPr="00B6409D" w:rsidRDefault="00DE250C" w:rsidP="00DE250C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DE250C" w:rsidRPr="00925B23" w:rsidRDefault="00DE250C" w:rsidP="00DE250C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DE250C" w:rsidRPr="00925B23" w:rsidRDefault="00DE250C" w:rsidP="00DE250C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DE250C" w:rsidRPr="00925B23" w:rsidRDefault="00DE250C" w:rsidP="00DE250C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DE250C" w:rsidRPr="00925B23" w:rsidRDefault="00DE250C" w:rsidP="00DE250C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DE250C" w:rsidRPr="00FE3DDA" w:rsidRDefault="00DE250C" w:rsidP="00DE250C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36296A" w:rsidRPr="00DE250C" w:rsidRDefault="0036296A"/>
    <w:sectPr w:rsidR="0036296A" w:rsidRPr="00DE250C" w:rsidSect="0016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1A" w:rsidRDefault="007C4C1A" w:rsidP="004F5C56">
      <w:r>
        <w:separator/>
      </w:r>
    </w:p>
  </w:endnote>
  <w:endnote w:type="continuationSeparator" w:id="1">
    <w:p w:rsidR="007C4C1A" w:rsidRDefault="007C4C1A" w:rsidP="004F5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1A" w:rsidRDefault="007C4C1A" w:rsidP="004F5C56">
      <w:r>
        <w:separator/>
      </w:r>
    </w:p>
  </w:footnote>
  <w:footnote w:type="continuationSeparator" w:id="1">
    <w:p w:rsidR="007C4C1A" w:rsidRDefault="007C4C1A" w:rsidP="004F5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C56"/>
    <w:rsid w:val="001666DE"/>
    <w:rsid w:val="0036296A"/>
    <w:rsid w:val="004F5C56"/>
    <w:rsid w:val="007C4C1A"/>
    <w:rsid w:val="00D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5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C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C5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C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3</cp:revision>
  <dcterms:created xsi:type="dcterms:W3CDTF">2018-11-23T01:39:00Z</dcterms:created>
  <dcterms:modified xsi:type="dcterms:W3CDTF">2018-11-23T04:35:00Z</dcterms:modified>
</cp:coreProperties>
</file>