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DB" w:rsidRDefault="003407B9" w:rsidP="003407B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   </w:t>
      </w:r>
      <w:r w:rsidR="00731D30">
        <w:rPr>
          <w:rFonts w:ascii="Arial" w:hAnsi="Arial" w:cs="Arial" w:hint="eastAsia"/>
          <w:bCs/>
          <w:color w:val="2B2B2B"/>
          <w:szCs w:val="21"/>
          <w:shd w:val="clear" w:color="auto" w:fill="F8F8F8"/>
        </w:rPr>
        <w:t>超纯水系统</w:t>
      </w:r>
      <w:r>
        <w:rPr>
          <w:rFonts w:hint="eastAsia"/>
          <w:color w:val="000000"/>
          <w:szCs w:val="21"/>
        </w:rPr>
        <w:t>技术参数</w:t>
      </w:r>
    </w:p>
    <w:p w:rsidR="003407B9" w:rsidRDefault="003407B9" w:rsidP="003407B9">
      <w:pPr>
        <w:ind w:firstLineChars="200" w:firstLine="420"/>
        <w:rPr>
          <w:color w:val="000000"/>
          <w:szCs w:val="21"/>
        </w:rPr>
      </w:pPr>
    </w:p>
    <w:p w:rsidR="003407B9" w:rsidRDefault="003407B9" w:rsidP="003407B9">
      <w:pPr>
        <w:ind w:firstLineChars="200" w:firstLine="480"/>
        <w:rPr>
          <w:sz w:val="24"/>
          <w:szCs w:val="24"/>
        </w:rPr>
      </w:pPr>
    </w:p>
    <w:p w:rsidR="00731D30" w:rsidRDefault="00731D30" w:rsidP="00731D30">
      <w:pPr>
        <w:ind w:firstLineChars="100" w:firstLine="240"/>
        <w:rPr>
          <w:rFonts w:ascii="宋体" w:hAnsi="宋体" w:hint="eastAsia"/>
          <w:sz w:val="24"/>
        </w:rPr>
      </w:pPr>
      <w:r>
        <w:rPr>
          <w:rFonts w:ascii="楷体_GB2312" w:eastAsia="楷体_GB2312" w:hint="eastAsia"/>
          <w:sz w:val="24"/>
        </w:rPr>
        <w:t>性能、技术指标:</w:t>
      </w:r>
    </w:p>
    <w:p w:rsidR="00731D30" w:rsidRDefault="00731D30" w:rsidP="00731D30">
      <w:pPr>
        <w:numPr>
          <w:ilvl w:val="1"/>
          <w:numId w:val="2"/>
        </w:numPr>
        <w:tabs>
          <w:tab w:val="left" w:pos="180"/>
          <w:tab w:val="left" w:pos="360"/>
          <w:tab w:val="left" w:pos="540"/>
        </w:tabs>
        <w:spacing w:line="288" w:lineRule="auto"/>
        <w:ind w:left="540" w:hanging="540"/>
        <w:rPr>
          <w:rFonts w:ascii="宋体" w:hAnsi="宋体" w:hint="eastAsia"/>
          <w:bCs/>
          <w:szCs w:val="21"/>
        </w:rPr>
      </w:pPr>
      <w:r>
        <w:rPr>
          <w:rFonts w:hint="eastAsia"/>
        </w:rPr>
        <w:t>该系统由分析级纯水或蒸馏水作进水，连续生产超纯水</w:t>
      </w:r>
      <w:r>
        <w:rPr>
          <w:rFonts w:ascii="宋体" w:hAnsi="宋体" w:hint="eastAsia"/>
          <w:bCs/>
          <w:szCs w:val="21"/>
        </w:rPr>
        <w:t xml:space="preserve"> </w:t>
      </w:r>
    </w:p>
    <w:p w:rsidR="00731D30" w:rsidRDefault="00731D30" w:rsidP="00731D30">
      <w:pPr>
        <w:numPr>
          <w:ilvl w:val="1"/>
          <w:numId w:val="2"/>
        </w:numPr>
        <w:tabs>
          <w:tab w:val="left" w:pos="180"/>
          <w:tab w:val="left" w:pos="360"/>
          <w:tab w:val="left" w:pos="540"/>
        </w:tabs>
        <w:spacing w:line="288" w:lineRule="auto"/>
        <w:ind w:left="540" w:hanging="54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超纯水产水流速：50ml </w:t>
      </w:r>
      <w:r>
        <w:rPr>
          <w:rFonts w:ascii="宋体" w:hAnsi="宋体"/>
          <w:bCs/>
          <w:szCs w:val="21"/>
        </w:rPr>
        <w:t>–</w:t>
      </w:r>
      <w:r>
        <w:rPr>
          <w:rFonts w:ascii="宋体" w:hAnsi="宋体" w:hint="eastAsia"/>
          <w:bCs/>
          <w:szCs w:val="21"/>
        </w:rPr>
        <w:t xml:space="preserve"> 2000ml/min</w:t>
      </w:r>
    </w:p>
    <w:p w:rsidR="00731D30" w:rsidRDefault="00731D30" w:rsidP="00731D30">
      <w:pPr>
        <w:numPr>
          <w:ilvl w:val="1"/>
          <w:numId w:val="2"/>
        </w:numPr>
        <w:tabs>
          <w:tab w:val="left" w:pos="180"/>
          <w:tab w:val="left" w:pos="360"/>
          <w:tab w:val="left" w:pos="540"/>
        </w:tabs>
        <w:spacing w:line="288" w:lineRule="auto"/>
        <w:ind w:left="540" w:hanging="540"/>
        <w:rPr>
          <w:rFonts w:ascii="宋体" w:hAnsi="宋体" w:hint="eastAsia"/>
          <w:bCs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超纯水产水水质：</w:t>
      </w:r>
    </w:p>
    <w:p w:rsidR="00731D30" w:rsidRDefault="00731D30" w:rsidP="00731D30">
      <w:pPr>
        <w:numPr>
          <w:ilvl w:val="2"/>
          <w:numId w:val="3"/>
        </w:numPr>
        <w:tabs>
          <w:tab w:val="left" w:pos="1571"/>
        </w:tabs>
        <w:spacing w:line="288" w:lineRule="auto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电阻率：18.2</w:t>
      </w:r>
      <w:r>
        <w:rPr>
          <w:rFonts w:ascii="宋体" w:hAnsi="宋体" w:cs="楷体_GB2312"/>
          <w:bCs/>
          <w:color w:val="000000"/>
          <w:szCs w:val="21"/>
        </w:rPr>
        <w:t xml:space="preserve"> </w:t>
      </w:r>
      <w:r>
        <w:rPr>
          <w:rFonts w:ascii="宋体" w:hAnsi="宋体" w:cs="楷体_GB2312" w:hint="eastAsia"/>
          <w:bCs/>
          <w:color w:val="000000"/>
          <w:szCs w:val="21"/>
        </w:rPr>
        <w:t>MΩ·cm＠25℃</w:t>
      </w:r>
    </w:p>
    <w:p w:rsidR="00731D30" w:rsidRDefault="00731D30" w:rsidP="00731D30">
      <w:pPr>
        <w:numPr>
          <w:ilvl w:val="2"/>
          <w:numId w:val="3"/>
        </w:numPr>
        <w:tabs>
          <w:tab w:val="left" w:pos="1571"/>
        </w:tabs>
        <w:spacing w:line="288" w:lineRule="auto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总有机碳含量</w:t>
      </w:r>
      <w:r>
        <w:rPr>
          <w:rFonts w:ascii="宋体" w:hAnsi="宋体" w:cs="楷体_GB2312"/>
          <w:bCs/>
          <w:color w:val="000000"/>
          <w:szCs w:val="21"/>
        </w:rPr>
        <w:t>(TOC)</w:t>
      </w:r>
      <w:r>
        <w:rPr>
          <w:rFonts w:ascii="宋体" w:hAnsi="宋体" w:cs="楷体_GB2312" w:hint="eastAsia"/>
          <w:bCs/>
          <w:color w:val="000000"/>
          <w:szCs w:val="21"/>
        </w:rPr>
        <w:t xml:space="preserve"> ＜ 5</w:t>
      </w:r>
      <w:r>
        <w:rPr>
          <w:rFonts w:ascii="宋体" w:hAnsi="宋体" w:cs="楷体_GB2312"/>
          <w:bCs/>
          <w:color w:val="000000"/>
          <w:szCs w:val="21"/>
        </w:rPr>
        <w:t>ppb</w:t>
      </w:r>
      <w:r>
        <w:rPr>
          <w:rFonts w:ascii="宋体" w:hAnsi="宋体" w:cs="楷体_GB2312" w:hint="eastAsia"/>
          <w:bCs/>
          <w:color w:val="000000"/>
          <w:szCs w:val="21"/>
        </w:rPr>
        <w:t xml:space="preserve"> ；</w:t>
      </w:r>
    </w:p>
    <w:p w:rsidR="00731D30" w:rsidRDefault="00731D30" w:rsidP="00731D30">
      <w:pPr>
        <w:numPr>
          <w:ilvl w:val="2"/>
          <w:numId w:val="3"/>
        </w:numPr>
        <w:tabs>
          <w:tab w:val="left" w:pos="1571"/>
        </w:tabs>
        <w:spacing w:line="288" w:lineRule="auto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直径大于0.22μm的颗粒物数量: ＜1/ml</w:t>
      </w:r>
    </w:p>
    <w:p w:rsidR="00731D30" w:rsidRDefault="00731D30" w:rsidP="00731D30">
      <w:pPr>
        <w:numPr>
          <w:ilvl w:val="2"/>
          <w:numId w:val="3"/>
        </w:numPr>
        <w:tabs>
          <w:tab w:val="left" w:pos="1571"/>
        </w:tabs>
        <w:spacing w:line="288" w:lineRule="auto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 xml:space="preserve">微生物：＜ 0.1 </w:t>
      </w:r>
      <w:r>
        <w:rPr>
          <w:rFonts w:ascii="宋体" w:hAnsi="宋体" w:cs="楷体_GB2312"/>
          <w:bCs/>
          <w:color w:val="000000"/>
          <w:szCs w:val="21"/>
        </w:rPr>
        <w:t>cfu/ml</w:t>
      </w:r>
      <w:r>
        <w:rPr>
          <w:rFonts w:ascii="宋体" w:hAnsi="宋体" w:cs="楷体_GB2312" w:hint="eastAsia"/>
          <w:bCs/>
          <w:color w:val="000000"/>
          <w:szCs w:val="21"/>
        </w:rPr>
        <w:t>；</w:t>
      </w:r>
    </w:p>
    <w:p w:rsidR="00731D30" w:rsidRDefault="00731D30" w:rsidP="00731D30">
      <w:pPr>
        <w:numPr>
          <w:ilvl w:val="2"/>
          <w:numId w:val="3"/>
        </w:numPr>
        <w:tabs>
          <w:tab w:val="left" w:pos="1571"/>
        </w:tabs>
        <w:spacing w:line="288" w:lineRule="auto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电阻率检测仪电极常数：</w:t>
      </w:r>
      <w:r>
        <w:rPr>
          <w:rFonts w:ascii="宋体" w:hAnsi="宋体" w:cs="楷体_GB2312"/>
          <w:bCs/>
          <w:color w:val="000000"/>
          <w:szCs w:val="21"/>
        </w:rPr>
        <w:t>0.0</w:t>
      </w:r>
      <w:r>
        <w:rPr>
          <w:rFonts w:ascii="宋体" w:hAnsi="宋体" w:cs="楷体_GB2312" w:hint="eastAsia"/>
          <w:bCs/>
          <w:color w:val="000000"/>
          <w:szCs w:val="21"/>
        </w:rPr>
        <w:t>1cm-1</w:t>
      </w:r>
    </w:p>
    <w:p w:rsidR="00731D30" w:rsidRDefault="00731D30" w:rsidP="00731D30">
      <w:pPr>
        <w:numPr>
          <w:ilvl w:val="1"/>
          <w:numId w:val="2"/>
        </w:numPr>
        <w:tabs>
          <w:tab w:val="left" w:pos="180"/>
          <w:tab w:val="left" w:pos="360"/>
          <w:tab w:val="left" w:pos="540"/>
        </w:tabs>
        <w:spacing w:line="288" w:lineRule="auto"/>
        <w:ind w:left="540" w:hanging="540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内置双波长(185</w:t>
      </w:r>
      <w:r>
        <w:rPr>
          <w:rFonts w:ascii="宋体" w:hAnsi="宋体" w:cs="楷体_GB2312"/>
          <w:bCs/>
          <w:color w:val="000000"/>
          <w:szCs w:val="21"/>
        </w:rPr>
        <w:t>nm</w:t>
      </w:r>
      <w:r>
        <w:rPr>
          <w:rFonts w:ascii="宋体" w:hAnsi="宋体" w:cs="楷体_GB2312" w:hint="eastAsia"/>
          <w:bCs/>
          <w:color w:val="000000"/>
          <w:szCs w:val="21"/>
        </w:rPr>
        <w:t>＆</w:t>
      </w:r>
      <w:r>
        <w:rPr>
          <w:rFonts w:ascii="宋体" w:hAnsi="宋体" w:cs="楷体_GB2312"/>
          <w:bCs/>
          <w:color w:val="000000"/>
          <w:szCs w:val="21"/>
        </w:rPr>
        <w:t>254nm)</w:t>
      </w:r>
      <w:r>
        <w:rPr>
          <w:rFonts w:ascii="宋体" w:hAnsi="宋体" w:cs="楷体_GB2312" w:hint="eastAsia"/>
          <w:bCs/>
          <w:color w:val="000000"/>
          <w:szCs w:val="21"/>
        </w:rPr>
        <w:t>紫外灯</w:t>
      </w:r>
    </w:p>
    <w:p w:rsidR="00731D30" w:rsidRDefault="00731D30" w:rsidP="00731D30">
      <w:pPr>
        <w:numPr>
          <w:ilvl w:val="1"/>
          <w:numId w:val="2"/>
        </w:numPr>
        <w:tabs>
          <w:tab w:val="left" w:pos="180"/>
          <w:tab w:val="left" w:pos="360"/>
          <w:tab w:val="left" w:pos="540"/>
        </w:tabs>
        <w:spacing w:line="288" w:lineRule="auto"/>
        <w:ind w:left="540" w:hanging="540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内置2个电导率监测仪，出水电导池常数应达到0.01 cm-1</w:t>
      </w:r>
    </w:p>
    <w:p w:rsidR="00731D30" w:rsidRDefault="00731D30" w:rsidP="00731D30">
      <w:pPr>
        <w:numPr>
          <w:ilvl w:val="1"/>
          <w:numId w:val="2"/>
        </w:numPr>
        <w:tabs>
          <w:tab w:val="left" w:pos="180"/>
          <w:tab w:val="left" w:pos="360"/>
          <w:tab w:val="left" w:pos="540"/>
        </w:tabs>
        <w:spacing w:line="288" w:lineRule="auto"/>
        <w:ind w:left="540" w:hanging="540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内置低噪音直流泵,1米处＜40db</w:t>
      </w:r>
    </w:p>
    <w:p w:rsidR="00731D30" w:rsidRDefault="00731D30" w:rsidP="00731D30">
      <w:pPr>
        <w:numPr>
          <w:ilvl w:val="1"/>
          <w:numId w:val="2"/>
        </w:numPr>
        <w:tabs>
          <w:tab w:val="left" w:pos="180"/>
          <w:tab w:val="left" w:pos="360"/>
          <w:tab w:val="left" w:pos="540"/>
        </w:tabs>
        <w:spacing w:line="288" w:lineRule="auto"/>
        <w:ind w:left="540" w:hanging="540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FF0000"/>
          <w:szCs w:val="21"/>
        </w:rPr>
        <w:t xml:space="preserve">* </w:t>
      </w:r>
      <w:r>
        <w:rPr>
          <w:rFonts w:ascii="宋体" w:hAnsi="宋体" w:cs="楷体_GB2312" w:hint="eastAsia"/>
          <w:bCs/>
          <w:color w:val="000000"/>
          <w:szCs w:val="21"/>
        </w:rPr>
        <w:t>含LED水质指示灯活动支臂取水枪, 取水过程中无需用手固定容器,取水高度可调,具有定量自动取水功能，可选配脚踏取水开关</w:t>
      </w:r>
    </w:p>
    <w:p w:rsidR="00731D30" w:rsidRDefault="00731D30" w:rsidP="00731D30">
      <w:pPr>
        <w:numPr>
          <w:ilvl w:val="1"/>
          <w:numId w:val="2"/>
        </w:numPr>
        <w:tabs>
          <w:tab w:val="left" w:pos="180"/>
          <w:tab w:val="left" w:pos="360"/>
          <w:tab w:val="left" w:pos="540"/>
        </w:tabs>
        <w:spacing w:line="288" w:lineRule="auto"/>
        <w:ind w:left="540" w:hanging="540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主机含液晶显示屏有中文操作界面,实时显示出水关键信息</w:t>
      </w:r>
    </w:p>
    <w:p w:rsidR="00731D30" w:rsidRDefault="00731D30" w:rsidP="00731D30">
      <w:pPr>
        <w:numPr>
          <w:ilvl w:val="1"/>
          <w:numId w:val="2"/>
        </w:numPr>
        <w:tabs>
          <w:tab w:val="left" w:pos="180"/>
          <w:tab w:val="left" w:pos="360"/>
          <w:tab w:val="left" w:pos="540"/>
        </w:tabs>
        <w:spacing w:line="288" w:lineRule="auto"/>
        <w:ind w:left="540" w:hanging="540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系统具有可自动检测,自动维护提示及自动报警等功能.</w:t>
      </w:r>
    </w:p>
    <w:p w:rsidR="00731D30" w:rsidRDefault="00731D30" w:rsidP="00731D30">
      <w:pPr>
        <w:numPr>
          <w:ilvl w:val="1"/>
          <w:numId w:val="2"/>
        </w:numPr>
        <w:tabs>
          <w:tab w:val="left" w:pos="180"/>
          <w:tab w:val="left" w:pos="360"/>
          <w:tab w:val="left" w:pos="540"/>
        </w:tabs>
        <w:spacing w:line="288" w:lineRule="auto"/>
        <w:ind w:left="540" w:hanging="540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 xml:space="preserve">耗材具有RFID芯片识别功能,保证系统安全. </w:t>
      </w:r>
    </w:p>
    <w:p w:rsidR="00731D30" w:rsidRDefault="00731D30" w:rsidP="00731D30">
      <w:pPr>
        <w:numPr>
          <w:ilvl w:val="1"/>
          <w:numId w:val="2"/>
        </w:numPr>
        <w:tabs>
          <w:tab w:val="left" w:pos="180"/>
          <w:tab w:val="left" w:pos="360"/>
          <w:tab w:val="left" w:pos="540"/>
        </w:tabs>
        <w:spacing w:line="288" w:lineRule="auto"/>
        <w:ind w:left="540" w:hanging="540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 xml:space="preserve">自动记录一整年水质资料,出水水质符合NCCLS﹑ASTM` CAP要求; 整机符合 GLP要求,可直接与PC机或打印机相连. </w:t>
      </w:r>
    </w:p>
    <w:p w:rsidR="00731D30" w:rsidRDefault="00731D30" w:rsidP="00731D30">
      <w:pPr>
        <w:numPr>
          <w:ilvl w:val="1"/>
          <w:numId w:val="2"/>
        </w:numPr>
        <w:tabs>
          <w:tab w:val="left" w:pos="180"/>
          <w:tab w:val="left" w:pos="360"/>
          <w:tab w:val="left" w:pos="540"/>
        </w:tabs>
        <w:spacing w:line="288" w:lineRule="auto"/>
        <w:ind w:left="540" w:hanging="540"/>
        <w:rPr>
          <w:rFonts w:ascii="宋体" w:hAnsi="宋体" w:cs="楷体_GB2312" w:hint="eastAsia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FF0000"/>
          <w:szCs w:val="21"/>
        </w:rPr>
        <w:t xml:space="preserve">* </w:t>
      </w:r>
      <w:r>
        <w:rPr>
          <w:rFonts w:ascii="宋体" w:hAnsi="宋体" w:cs="楷体_GB2312" w:hint="eastAsia"/>
          <w:bCs/>
          <w:color w:val="000000"/>
          <w:szCs w:val="21"/>
        </w:rPr>
        <w:t>全系统可检附并可追溯至NIST的仪表校验证明书(ISO9001/ISO14001).</w:t>
      </w:r>
    </w:p>
    <w:p w:rsidR="003407B9" w:rsidRPr="00731D30" w:rsidRDefault="003407B9" w:rsidP="003407B9">
      <w:pPr>
        <w:ind w:leftChars="200" w:left="420"/>
        <w:rPr>
          <w:sz w:val="24"/>
          <w:szCs w:val="24"/>
        </w:rPr>
      </w:pPr>
    </w:p>
    <w:p w:rsidR="003407B9" w:rsidRPr="003407B9" w:rsidRDefault="003407B9" w:rsidP="003407B9">
      <w:pPr>
        <w:ind w:leftChars="200" w:left="420"/>
        <w:rPr>
          <w:sz w:val="24"/>
          <w:szCs w:val="24"/>
        </w:rPr>
      </w:pPr>
      <w:r w:rsidRPr="00EE24EA">
        <w:rPr>
          <w:rFonts w:hAnsi="宋体" w:cs="宋体" w:hint="eastAsia"/>
          <w:sz w:val="24"/>
          <w:szCs w:val="24"/>
        </w:rPr>
        <w:t>技术服务要求</w:t>
      </w:r>
    </w:p>
    <w:p w:rsidR="003407B9" w:rsidRPr="00EE24EA" w:rsidRDefault="003407B9" w:rsidP="00731D30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1.</w:t>
      </w:r>
      <w:r w:rsidRPr="00EE24EA">
        <w:rPr>
          <w:rFonts w:ascii="宋体" w:hAnsi="宋体" w:cs="宋体" w:hint="eastAsia"/>
          <w:kern w:val="0"/>
        </w:rPr>
        <w:t>设备安装调试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在买方指定的地点完成安装调试，并配合买方进行测试验收。</w:t>
      </w:r>
    </w:p>
    <w:p w:rsidR="003407B9" w:rsidRPr="00EE24EA" w:rsidRDefault="003407B9" w:rsidP="00731D30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2.</w:t>
      </w:r>
      <w:r w:rsidRPr="00EE24EA">
        <w:rPr>
          <w:rFonts w:ascii="宋体" w:hAnsi="宋体" w:cs="宋体" w:hint="eastAsia"/>
          <w:kern w:val="0"/>
        </w:rPr>
        <w:t>质保期保修</w:t>
      </w:r>
      <w:r>
        <w:rPr>
          <w:rFonts w:ascii="宋体" w:hAnsi="宋体" w:cs="宋体" w:hint="eastAsia"/>
          <w:kern w:val="0"/>
        </w:rPr>
        <w:t>12</w:t>
      </w:r>
      <w:r w:rsidRPr="00EE24EA">
        <w:rPr>
          <w:rFonts w:ascii="宋体" w:hAnsi="宋体" w:cs="宋体" w:hint="eastAsia"/>
          <w:kern w:val="0"/>
        </w:rPr>
        <w:t>个月</w:t>
      </w:r>
      <w:r w:rsidRPr="00EE24EA">
        <w:rPr>
          <w:rFonts w:ascii="宋体" w:hAnsi="宋体" w:cs="宋体"/>
          <w:kern w:val="0"/>
        </w:rPr>
        <w:t>,</w:t>
      </w:r>
      <w:r w:rsidRPr="00EE24EA">
        <w:rPr>
          <w:rFonts w:ascii="宋体" w:hAnsi="宋体" w:cs="宋体" w:hint="eastAsia"/>
          <w:kern w:val="0"/>
        </w:rPr>
        <w:t>终身维修，质保期外只收硬件成本费。</w:t>
      </w:r>
    </w:p>
    <w:p w:rsidR="003407B9" w:rsidRPr="00EE24EA" w:rsidRDefault="003407B9" w:rsidP="00731D30">
      <w:pPr>
        <w:spacing w:beforeLines="50" w:afterLines="50" w:line="280" w:lineRule="exac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 xml:space="preserve">   3.</w:t>
      </w:r>
      <w:r w:rsidRPr="00EE24EA">
        <w:rPr>
          <w:rFonts w:ascii="宋体" w:hAnsi="宋体" w:cs="宋体" w:hint="eastAsia"/>
          <w:kern w:val="0"/>
        </w:rPr>
        <w:t>维修响应时间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接到维修通知后，</w:t>
      </w:r>
      <w:r w:rsidRPr="00EE24EA">
        <w:rPr>
          <w:rFonts w:ascii="宋体" w:hAnsi="宋体" w:cs="宋体"/>
          <w:kern w:val="0"/>
        </w:rPr>
        <w:t>1</w:t>
      </w:r>
      <w:r w:rsidRPr="00EE24EA">
        <w:rPr>
          <w:rFonts w:ascii="宋体" w:hAnsi="宋体" w:cs="宋体" w:hint="eastAsia"/>
          <w:kern w:val="0"/>
        </w:rPr>
        <w:t>个工作日内作出响应，</w:t>
      </w:r>
      <w:r w:rsidRPr="00EE24EA">
        <w:rPr>
          <w:rFonts w:ascii="宋体" w:hAnsi="宋体" w:cs="宋体"/>
          <w:kern w:val="0"/>
        </w:rPr>
        <w:t>3</w:t>
      </w:r>
      <w:r w:rsidRPr="00EE24EA">
        <w:rPr>
          <w:rFonts w:ascii="宋体" w:hAnsi="宋体" w:cs="宋体" w:hint="eastAsia"/>
          <w:kern w:val="0"/>
        </w:rPr>
        <w:t>个工作日内到场排除故障。</w:t>
      </w:r>
    </w:p>
    <w:p w:rsidR="0006211D" w:rsidRPr="0048550B" w:rsidRDefault="0006211D" w:rsidP="0006211D">
      <w:pPr>
        <w:rPr>
          <w:sz w:val="24"/>
          <w:szCs w:val="24"/>
        </w:rPr>
      </w:pPr>
      <w:r w:rsidRPr="0048550B">
        <w:rPr>
          <w:rFonts w:hint="eastAsia"/>
          <w:sz w:val="24"/>
          <w:szCs w:val="24"/>
        </w:rPr>
        <w:t>注：该设备办理免税，如不能办理免税，所有费用由中标公司承担。</w:t>
      </w:r>
    </w:p>
    <w:p w:rsidR="003407B9" w:rsidRPr="0006211D" w:rsidRDefault="003407B9" w:rsidP="003407B9">
      <w:pPr>
        <w:spacing w:line="360" w:lineRule="auto"/>
        <w:rPr>
          <w:sz w:val="18"/>
          <w:szCs w:val="18"/>
        </w:rPr>
      </w:pPr>
    </w:p>
    <w:p w:rsidR="009E70BF" w:rsidRPr="003407B9" w:rsidRDefault="009E70BF">
      <w:pPr>
        <w:rPr>
          <w:sz w:val="24"/>
          <w:szCs w:val="24"/>
        </w:rPr>
      </w:pPr>
    </w:p>
    <w:sectPr w:rsidR="009E70BF" w:rsidRPr="003407B9" w:rsidSect="006E6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E90" w:rsidRDefault="00B80E90" w:rsidP="00AF3D3D">
      <w:r>
        <w:separator/>
      </w:r>
    </w:p>
  </w:endnote>
  <w:endnote w:type="continuationSeparator" w:id="1">
    <w:p w:rsidR="00B80E90" w:rsidRDefault="00B80E90" w:rsidP="00AF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E90" w:rsidRDefault="00B80E90" w:rsidP="00AF3D3D">
      <w:r>
        <w:separator/>
      </w:r>
    </w:p>
  </w:footnote>
  <w:footnote w:type="continuationSeparator" w:id="1">
    <w:p w:rsidR="00B80E90" w:rsidRDefault="00B80E90" w:rsidP="00AF3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16C6"/>
    <w:multiLevelType w:val="multilevel"/>
    <w:tmpl w:val="201616C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3.3.%3"/>
      <w:lvlJc w:val="left"/>
      <w:pPr>
        <w:tabs>
          <w:tab w:val="num" w:pos="1571"/>
        </w:tabs>
        <w:ind w:left="1418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">
    <w:nsid w:val="54DE1881"/>
    <w:multiLevelType w:val="hybridMultilevel"/>
    <w:tmpl w:val="ACF255B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7774443"/>
    <w:multiLevelType w:val="multilevel"/>
    <w:tmpl w:val="5777444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0DB"/>
    <w:rsid w:val="0006211D"/>
    <w:rsid w:val="00084D93"/>
    <w:rsid w:val="001310DB"/>
    <w:rsid w:val="003407B9"/>
    <w:rsid w:val="00466016"/>
    <w:rsid w:val="006C764F"/>
    <w:rsid w:val="006D5FC6"/>
    <w:rsid w:val="006E66EB"/>
    <w:rsid w:val="00714A8D"/>
    <w:rsid w:val="00731D30"/>
    <w:rsid w:val="007945FE"/>
    <w:rsid w:val="007F3FF2"/>
    <w:rsid w:val="0090509C"/>
    <w:rsid w:val="00966C23"/>
    <w:rsid w:val="009E70BF"/>
    <w:rsid w:val="00A55172"/>
    <w:rsid w:val="00AF3D3D"/>
    <w:rsid w:val="00B80E90"/>
    <w:rsid w:val="00C260E6"/>
    <w:rsid w:val="00C26229"/>
    <w:rsid w:val="00E40ECD"/>
    <w:rsid w:val="00E93FE0"/>
    <w:rsid w:val="00EA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0D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F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3D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3D3D"/>
    <w:rPr>
      <w:sz w:val="18"/>
      <w:szCs w:val="18"/>
    </w:rPr>
  </w:style>
  <w:style w:type="paragraph" w:styleId="a6">
    <w:name w:val="Plain Text"/>
    <w:aliases w:val="普通文字 Char,普通文字1,普通文字2,普通文字3,普通文字4,普通文字5,普通文字6,普通文字11,普通文字21,普通文字31,普通文字41,普通文字7,正 文 1,普通文字 Char Char,Texte,纯文本 Char Char,纯文本 Char1 Char Char,纯文本 Char Char Char Char,纯文本 Char Char1,纯文本 Char1 Char,纯文本 Char Char Char,普通文字,Plain Text Char Char"/>
    <w:basedOn w:val="a"/>
    <w:link w:val="Char1"/>
    <w:rsid w:val="003407B9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aliases w:val="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Texte Char,纯文本 Char Char Char1,纯文本 Char1 Char Char Char,普通文字 Char1"/>
    <w:basedOn w:val="a0"/>
    <w:link w:val="a6"/>
    <w:rsid w:val="003407B9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Zhiyong Yu</dc:creator>
  <cp:lastModifiedBy>User</cp:lastModifiedBy>
  <cp:revision>2</cp:revision>
  <dcterms:created xsi:type="dcterms:W3CDTF">2016-12-15T06:55:00Z</dcterms:created>
  <dcterms:modified xsi:type="dcterms:W3CDTF">2016-12-15T06:55:00Z</dcterms:modified>
</cp:coreProperties>
</file>