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</w:pPr>
      <w:r>
        <w:rPr>
          <w:rFonts w:hint="eastAsia"/>
        </w:rPr>
        <w:t>蛋白纯化系统</w:t>
      </w:r>
      <w:r>
        <w:t>技术规格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一、采购内容</w:t>
      </w:r>
    </w:p>
    <w:tbl>
      <w:tblPr>
        <w:tblStyle w:val="6"/>
        <w:tblW w:w="7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1"/>
        <w:gridCol w:w="4110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序号</w:t>
            </w:r>
          </w:p>
        </w:tc>
        <w:tc>
          <w:tcPr>
            <w:tcW w:w="4110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名称</w:t>
            </w:r>
          </w:p>
        </w:tc>
        <w:tc>
          <w:tcPr>
            <w:tcW w:w="2694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1</w:t>
            </w:r>
          </w:p>
        </w:tc>
        <w:tc>
          <w:tcPr>
            <w:tcW w:w="4110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蛋白纯化系统</w:t>
            </w:r>
          </w:p>
        </w:tc>
        <w:tc>
          <w:tcPr>
            <w:tcW w:w="2694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1台</w:t>
            </w:r>
          </w:p>
        </w:tc>
      </w:tr>
    </w:tbl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二、技术要求</w:t>
      </w:r>
    </w:p>
    <w:tbl>
      <w:tblPr>
        <w:tblStyle w:val="6"/>
        <w:tblW w:w="7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7"/>
        <w:gridCol w:w="1627"/>
        <w:gridCol w:w="663"/>
        <w:gridCol w:w="3865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编号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名称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数量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主要参数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工作站泵系统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精确的全自动微量柱塞泵，双泵四柱塞，peek材质。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流速：≥10ml/min，可选缓冲液在线配置阀实现流速加倍。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*耐受压力：≥25MPa 。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*LED灯实时显示运行参数。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在线自动清洗。</w:t>
            </w:r>
          </w:p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*可选配其他泵头进行泵头互换升级。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混合器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电动高压搅拌混合，标配有高精度分析/半制备型混合器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3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层析控制系统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单点控制所有层析参数，实时监测层析数据。在线帮助功能，在线实验方法修正，允许网络打印及文件存储方法模板和方法编辑指南。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4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紫外检测器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280/254 nm 汞灯光源固定波长检测器，自动归零功能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流通池：Z-型分析/半制备流动池。</w:t>
            </w:r>
          </w:p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检测器检测灵敏度：0.0001AUFS。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5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电导检测器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电导检测器整合在UV模块中, 少延迟体积</w:t>
            </w:r>
          </w:p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电导检测范围：0.001－999.99mS/cm，满足任何条件下层析高离子强度检测分析要求，包括疏水，变性条件下盐酸胍等。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6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上样系统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模式：上样、进样和清洗3种模式。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可选大容量动态进样环或软件控制外接辅助泵进行重复进样。</w:t>
            </w:r>
          </w:p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软件可自动控制。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7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收集器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方形X、Y轴移动方式组分收集器。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可选配冰浴、20组分大体积收集。</w:t>
            </w:r>
          </w:p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管容量：可进行微孔板、Eppendorf管或其他离心管收集。</w:t>
            </w:r>
          </w:p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全时收集，液滴收集，时间窗口收集，自动峰收集（斜率/水平识别），时间窗加自动峰收集等多种收集模式；固定体积收集；电脑自动识别组份所在管位置。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8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管路接头及配件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层析架盘和层析柱架，各种层析柱接头各一套，管路系统：PEEK材质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9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整套设备、模块设计、扩展：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1</w:t>
            </w:r>
          </w:p>
        </w:tc>
        <w:tc>
          <w:tcPr>
            <w:tcW w:w="3865" w:type="dxa"/>
            <w:vAlign w:val="center"/>
          </w:tcPr>
          <w:p>
            <w:pPr>
              <w:jc w:val="left"/>
              <w:rPr>
                <w:rFonts w:hint="eastAsia" w:ascii="Calibri" w:hAnsi="Calibri"/>
                <w:sz w:val="22"/>
                <w:szCs w:val="22"/>
              </w:rPr>
            </w:pPr>
            <w:r>
              <w:rPr>
                <w:rFonts w:hint="eastAsia" w:ascii="Calibri" w:hAnsi="Calibri"/>
                <w:sz w:val="22"/>
                <w:szCs w:val="22"/>
              </w:rPr>
              <w:t>*即插即用型的模块设计，能够轻松的改变系统配置，可根据纯化实验的需要，可随时拓展系统的功能。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/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bCs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en-US"/>
        </w:rPr>
        <w:t>三、技术服务要求</w:t>
      </w:r>
    </w:p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en-US"/>
        </w:rPr>
        <w:t>3.1设备安装调试</w:t>
      </w:r>
    </w:p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en-US"/>
        </w:rPr>
        <w:t>在采购人指定的地点完成安装调试，并配合采购人进行测试验收。</w:t>
      </w:r>
    </w:p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en-US"/>
        </w:rPr>
        <w:t>3.2技术培训</w:t>
      </w:r>
    </w:p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en-US"/>
        </w:rPr>
        <w:t>完成设备现场安装调试和验收后，在采购人所在地免费提供专业培训，就设备的操作使用和保养维护等内容进行重点培训。</w:t>
      </w:r>
    </w:p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en-US"/>
        </w:rPr>
        <w:t>3.3质保期</w:t>
      </w:r>
    </w:p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en-US"/>
        </w:rPr>
        <w:t>整机零部件保修两年，三年内维修免人工费用，终身维护。保修期自验收签字之日起计算。</w:t>
      </w:r>
    </w:p>
    <w:p>
      <w:pPr>
        <w:widowControl w:val="0"/>
        <w:spacing w:before="0" w:beforeAutospacing="0" w:after="0" w:afterAutospacing="0" w:line="360" w:lineRule="auto"/>
        <w:ind w:left="0" w:right="191" w:rightChars="91"/>
        <w:jc w:val="both"/>
        <w:rPr>
          <w:rFonts w:hint="eastAsia" w:ascii="宋体" w:hAnsi="宋体" w:eastAsia="宋体" w:cs="宋体"/>
          <w:sz w:val="24"/>
          <w:szCs w:val="24"/>
          <w:lang w:val="en-US" w:bidi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en-US"/>
        </w:rPr>
        <w:t>3.4维修响应时间</w:t>
      </w:r>
    </w:p>
    <w:p>
      <w:pPr>
        <w:widowControl/>
        <w:jc w:val="left"/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en-US"/>
        </w:rPr>
        <w:t>接到维修通知后，3小时内作出响应，24小时内到场排除故障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207812"/>
    <w:rsid w:val="002B0A9F"/>
    <w:rsid w:val="00305900"/>
    <w:rsid w:val="003B5057"/>
    <w:rsid w:val="004A3CB8"/>
    <w:rsid w:val="00501336"/>
    <w:rsid w:val="005E6B35"/>
    <w:rsid w:val="00655A87"/>
    <w:rsid w:val="00892D64"/>
    <w:rsid w:val="008E273C"/>
    <w:rsid w:val="00925F26"/>
    <w:rsid w:val="00A275D8"/>
    <w:rsid w:val="00B463E2"/>
    <w:rsid w:val="00C72B67"/>
    <w:rsid w:val="00DA7E47"/>
    <w:rsid w:val="00ED157D"/>
    <w:rsid w:val="00ED5DCB"/>
    <w:rsid w:val="213E4251"/>
    <w:rsid w:val="236E03B0"/>
    <w:rsid w:val="23C742C2"/>
    <w:rsid w:val="2A160188"/>
    <w:rsid w:val="2B6739C3"/>
    <w:rsid w:val="2E8C546A"/>
    <w:rsid w:val="3011436C"/>
    <w:rsid w:val="347A51A5"/>
    <w:rsid w:val="41EA08B5"/>
    <w:rsid w:val="48EE1032"/>
    <w:rsid w:val="567B6271"/>
    <w:rsid w:val="5911172D"/>
    <w:rsid w:val="5B1259FA"/>
    <w:rsid w:val="5B22527E"/>
    <w:rsid w:val="5DB04D50"/>
    <w:rsid w:val="641106AE"/>
    <w:rsid w:val="66B129F7"/>
    <w:rsid w:val="6967357B"/>
    <w:rsid w:val="798058E5"/>
    <w:rsid w:val="7B281DA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副标题 Char"/>
    <w:link w:val="4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8">
    <w:name w:val="副标题 Char1"/>
    <w:uiPriority w:val="11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9">
    <w:name w:val="font61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0">
    <w:name w:val="font51"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11">
    <w:name w:val="font71"/>
    <w:uiPriority w:val="0"/>
    <w:rPr>
      <w:rFonts w:ascii="Arial" w:hAnsi="Arial" w:cs="Arial"/>
      <w:b/>
      <w:color w:val="auto"/>
      <w:sz w:val="20"/>
      <w:szCs w:val="20"/>
      <w:u w:val="none"/>
    </w:rPr>
  </w:style>
  <w:style w:type="character" w:customStyle="1" w:styleId="12">
    <w:name w:val="font81"/>
    <w:uiPriority w:val="0"/>
    <w:rPr>
      <w:rFonts w:ascii="Arial" w:hAnsi="Arial" w:cs="Arial"/>
      <w:color w:val="auto"/>
      <w:sz w:val="20"/>
      <w:szCs w:val="20"/>
      <w:u w:val="single"/>
    </w:rPr>
  </w:style>
  <w:style w:type="character" w:customStyle="1" w:styleId="13">
    <w:name w:val="页眉 Char"/>
    <w:link w:val="3"/>
    <w:semiHidden/>
    <w:uiPriority w:val="0"/>
    <w:rPr>
      <w:kern w:val="2"/>
      <w:sz w:val="18"/>
      <w:szCs w:val="18"/>
    </w:rPr>
  </w:style>
  <w:style w:type="character" w:customStyle="1" w:styleId="14">
    <w:name w:val="页脚 Char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BIOTRAND</Company>
  <Pages>2</Pages>
  <Words>143</Words>
  <Characters>816</Characters>
  <Lines>6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2014-10-27T03:37:00Z</dcterms:created>
  <dc:creator>unknown</dc:creator>
  <cp:lastModifiedBy>tang</cp:lastModifiedBy>
  <dcterms:modified xsi:type="dcterms:W3CDTF">2014-11-15T03:15:15Z</dcterms:modified>
  <dc:title>蛋白纯化系统技术规格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