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r>
        <w:rPr>
          <w:rFonts w:hint="eastAsia"/>
          <w:lang w:val="en-US" w:eastAsia="zh-CN"/>
        </w:rPr>
        <w:t>超纯水系统</w:t>
      </w:r>
      <w:r>
        <w:t>技术规格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一、采购内容</w:t>
      </w:r>
    </w:p>
    <w:tbl>
      <w:tblPr>
        <w:tblStyle w:val="6"/>
        <w:tblW w:w="7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4110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序号</w:t>
            </w:r>
          </w:p>
        </w:tc>
        <w:tc>
          <w:tcPr>
            <w:tcW w:w="4110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名称</w:t>
            </w:r>
          </w:p>
        </w:tc>
        <w:tc>
          <w:tcPr>
            <w:tcW w:w="2694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1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1</w:t>
            </w:r>
          </w:p>
        </w:tc>
        <w:tc>
          <w:tcPr>
            <w:tcW w:w="4110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超纯水系统</w:t>
            </w:r>
          </w:p>
        </w:tc>
        <w:tc>
          <w:tcPr>
            <w:tcW w:w="2694" w:type="dxa"/>
            <w:vAlign w:val="top"/>
          </w:tcPr>
          <w:p>
            <w:pPr>
              <w:spacing w:line="360" w:lineRule="auto"/>
              <w:ind w:right="191" w:rightChars="91"/>
              <w:rPr>
                <w:rFonts w:ascii="宋体" w:hAnsi="宋体"/>
                <w:sz w:val="24"/>
                <w:lang w:bidi="en-US"/>
              </w:rPr>
            </w:pPr>
            <w:r>
              <w:rPr>
                <w:rFonts w:hint="eastAsia" w:ascii="宋体" w:hAnsi="宋体"/>
                <w:sz w:val="24"/>
                <w:lang w:bidi="en-US"/>
              </w:rPr>
              <w:t>1台</w:t>
            </w:r>
          </w:p>
        </w:tc>
      </w:tr>
    </w:tbl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二、技术要求</w:t>
      </w:r>
    </w:p>
    <w:tbl>
      <w:tblPr>
        <w:tblStyle w:val="6"/>
        <w:tblW w:w="8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7"/>
        <w:gridCol w:w="1627"/>
        <w:gridCol w:w="663"/>
        <w:gridCol w:w="3592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编号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3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主要参数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4" w:hRule="atLeast"/>
        </w:trPr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超纯水主机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电 源：220 伏、50 赫 兹，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出 水 量：</w:t>
            </w:r>
            <w:r>
              <w:rPr>
                <w:rFonts w:hint="eastAsia" w:ascii="Calibri" w:hAnsi="Calibri"/>
                <w:color w:val="000000"/>
                <w:sz w:val="22"/>
                <w:szCs w:val="22"/>
                <w:lang w:eastAsia="zh-CN"/>
              </w:rPr>
              <w:t>不小于</w:t>
            </w: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1.8 升/ 分  钟，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TOC：&lt;5 ppb</w:t>
            </w:r>
          </w:p>
          <w:p>
            <w:pPr>
              <w:jc w:val="left"/>
              <w:rPr>
                <w:rFonts w:hint="eastAsia"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电阻率最高：</w:t>
            </w:r>
            <w:r>
              <w:rPr>
                <w:rFonts w:hint="eastAsia" w:ascii="Calibri" w:hAnsi="Calibri"/>
                <w:color w:val="000000"/>
                <w:sz w:val="22"/>
                <w:szCs w:val="22"/>
                <w:lang w:eastAsia="zh-CN"/>
              </w:rPr>
              <w:t>不小于</w:t>
            </w: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18megohm-cm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* 紫 外 发 生 器－185nm 和 254nm，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TOC 冲 洗 阀，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带有出水阀，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持 续/ 间 歇 循 环保持水质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在线压力调节器，保护仪器免受高水压。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四分之一马达和循环泵，可自动进水，补水和自循环。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 xml:space="preserve"> *壁挂式设计，节省实验室空间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 xml:space="preserve"> *可在0-99分钟之间设定接水时间，无需人工等候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过滤柱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1（套）</w:t>
            </w:r>
          </w:p>
        </w:tc>
        <w:tc>
          <w:tcPr>
            <w:tcW w:w="3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/>
                <w:color w:val="000000"/>
                <w:sz w:val="22"/>
                <w:szCs w:val="22"/>
              </w:rPr>
              <w:t>*1 个 活 性 碳 柱，2 个 去 离 子 柱，1 个 有 机 吸 附 柱</w:t>
            </w:r>
          </w:p>
          <w:p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</w:p>
    <w:p>
      <w:pPr>
        <w:spacing w:line="360" w:lineRule="auto"/>
        <w:ind w:right="191" w:rightChars="91"/>
        <w:rPr>
          <w:rFonts w:ascii="宋体" w:hAnsi="宋体"/>
          <w:bCs/>
          <w:sz w:val="24"/>
          <w:lang w:bidi="en-US"/>
        </w:rPr>
      </w:pPr>
      <w:r>
        <w:rPr>
          <w:rFonts w:hint="eastAsia" w:ascii="宋体" w:hAnsi="宋体"/>
          <w:bCs/>
          <w:sz w:val="24"/>
          <w:lang w:bidi="en-US"/>
        </w:rPr>
        <w:t>三、技术服务要求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3.1设备安装调试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在采购人指定的地点完成安装调试，并配合采购人进行测试验收。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3.2技术培训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3.3质保期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整机零部件保修2年，三年内维修免人工费用，终身维修。保修期自验收签字之日起计算。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3.4维修响应时间</w:t>
      </w:r>
    </w:p>
    <w:p>
      <w:pPr>
        <w:spacing w:line="360" w:lineRule="auto"/>
        <w:ind w:right="191" w:rightChars="91"/>
        <w:rPr>
          <w:rFonts w:ascii="宋体" w:hAnsi="宋体"/>
          <w:sz w:val="24"/>
          <w:lang w:bidi="en-US"/>
        </w:rPr>
      </w:pPr>
      <w:r>
        <w:rPr>
          <w:rFonts w:hint="eastAsia" w:ascii="宋体" w:hAnsi="宋体"/>
          <w:sz w:val="24"/>
          <w:lang w:bidi="en-US"/>
        </w:rPr>
        <w:t>接到维修通知后，2小时内作出响应，24小时内到场排除故障。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63145"/>
    <w:rsid w:val="00172A27"/>
    <w:rsid w:val="00473BC9"/>
    <w:rsid w:val="006D4F0E"/>
    <w:rsid w:val="006E3810"/>
    <w:rsid w:val="00BF4EC8"/>
    <w:rsid w:val="00CC12F7"/>
    <w:rsid w:val="00E84BFA"/>
    <w:rsid w:val="00F253DA"/>
    <w:rsid w:val="074C2609"/>
    <w:rsid w:val="10E104F9"/>
    <w:rsid w:val="197E36EF"/>
    <w:rsid w:val="1FAA3E3B"/>
    <w:rsid w:val="22F130D9"/>
    <w:rsid w:val="36C31220"/>
    <w:rsid w:val="37E2423D"/>
    <w:rsid w:val="49F22E5E"/>
    <w:rsid w:val="4EB27F29"/>
    <w:rsid w:val="67E41AEF"/>
    <w:rsid w:val="72B21B34"/>
    <w:rsid w:val="7AF603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7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副标题 Char"/>
    <w:link w:val="4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">
    <w:name w:val="副标题 Char1"/>
    <w:basedOn w:val="5"/>
    <w:link w:val="4"/>
    <w:uiPriority w:val="11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semiHidden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BIOTRAND</Company>
  <Pages>2</Pages>
  <Words>81</Words>
  <Characters>467</Characters>
  <Lines>3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2014-10-27T03:37:00Z</dcterms:created>
  <dc:creator>unknown</dc:creator>
  <cp:lastModifiedBy>tang</cp:lastModifiedBy>
  <dcterms:modified xsi:type="dcterms:W3CDTF">2014-11-15T03:19:23Z</dcterms:modified>
  <dc:title>纯水系统技术规格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